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2716AF07"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80bis</w:t>
      </w:r>
      <w:r w:rsidRPr="00DB3907">
        <w:rPr>
          <w:rFonts w:cs="Courier New"/>
          <w:sz w:val="24"/>
          <w:szCs w:val="24"/>
          <w:lang w:val="de-DE"/>
        </w:rPr>
        <w:tab/>
      </w:r>
      <w:r w:rsidR="006F43D8">
        <w:rPr>
          <w:rFonts w:cs="Courier New"/>
          <w:sz w:val="24"/>
          <w:szCs w:val="24"/>
          <w:lang w:val="de-DE"/>
        </w:rPr>
        <w:t>R4-16775</w:t>
      </w:r>
      <w:r w:rsidR="005C074B">
        <w:rPr>
          <w:rFonts w:cs="Courier New"/>
          <w:sz w:val="24"/>
          <w:szCs w:val="24"/>
          <w:lang w:val="de-DE"/>
        </w:rPr>
        <w:t>2</w:t>
      </w:r>
    </w:p>
    <w:p w14:paraId="1D975CAD" w14:textId="77777777" w:rsidR="00A90FF2" w:rsidRPr="00DB3907" w:rsidRDefault="00A90FF2" w:rsidP="00A90FF2">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52CB10BE" w14:textId="77777777" w:rsidR="00A90FF2" w:rsidRPr="00DB3907" w:rsidRDefault="00A90FF2" w:rsidP="00A90FF2">
      <w:pPr>
        <w:pStyle w:val="Header"/>
        <w:rPr>
          <w:rFonts w:cs="Arial"/>
          <w:sz w:val="24"/>
          <w:szCs w:val="24"/>
        </w:rPr>
      </w:pPr>
      <w:r>
        <w:rPr>
          <w:rFonts w:cs="Arial"/>
          <w:sz w:val="24"/>
          <w:szCs w:val="24"/>
        </w:rPr>
        <w:t>Ljubljana, SI</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4FC605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10.3.1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0997E37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074B" w:rsidRPr="005C074B">
        <w:rPr>
          <w:rFonts w:ascii="Arial" w:hAnsi="Arial"/>
          <w:sz w:val="24"/>
          <w:lang w:val="en-US"/>
        </w:rPr>
        <w:t>Simulation results for NR coexistence study in Urban Macro scenario: downlink case</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1F55CA41" w:rsidR="00644DBE" w:rsidRDefault="00A90FF2" w:rsidP="0020451B">
      <w:pPr>
        <w:jc w:val="both"/>
      </w:pPr>
      <w:r>
        <w:t>RAN4 is currently working on the adjacent channel coexistence study to determine the main RF parameters for NR in millimiter wave (mmW) scenarios</w:t>
      </w:r>
      <w:r w:rsidR="00644DBE">
        <w:t>.</w:t>
      </w:r>
      <w:r>
        <w:t xml:space="preserve"> In previous RAN4 meeting (RAN4 #80), very good progress was made about the simulation assumptions to be adopted in the coexistence study </w:t>
      </w:r>
      <w:r>
        <w:fldChar w:fldCharType="begin"/>
      </w:r>
      <w:r>
        <w:instrText xml:space="preserve"> REF _Ref462992094 \r \h </w:instrText>
      </w:r>
      <w:r>
        <w:fldChar w:fldCharType="separate"/>
      </w:r>
      <w:r w:rsidR="005C074B">
        <w:t>[1]</w:t>
      </w:r>
      <w:r>
        <w:fldChar w:fldCharType="end"/>
      </w:r>
      <w:r>
        <w:t xml:space="preserve">. </w:t>
      </w:r>
      <w:r w:rsidR="006F43D8">
        <w:t xml:space="preserve">In this paper we provide </w:t>
      </w:r>
      <w:r w:rsidR="005C074B">
        <w:t>a collection of simulation results for the Urban Macro (UMa) scenario</w:t>
      </w:r>
      <w:r w:rsidR="006F43D8">
        <w:t>.</w:t>
      </w:r>
      <w:r w:rsidR="005C074B">
        <w:t xml:space="preserve"> The Down Link (DL) case is analysed.</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93CF170" w14:textId="0DE4E546" w:rsidR="005C074B" w:rsidRDefault="005C074B" w:rsidP="005C074B">
      <w:pPr>
        <w:jc w:val="both"/>
        <w:rPr>
          <w:lang w:val="en-US"/>
        </w:rPr>
      </w:pPr>
      <w:r>
        <w:rPr>
          <w:lang w:val="en-US"/>
        </w:rPr>
        <w:t xml:space="preserve">The simulation assumptions adopted in this paper are the ones agreed in </w:t>
      </w:r>
      <w:r>
        <w:rPr>
          <w:lang w:val="en-US"/>
        </w:rPr>
        <w:fldChar w:fldCharType="begin"/>
      </w:r>
      <w:r>
        <w:rPr>
          <w:lang w:val="en-US"/>
        </w:rPr>
        <w:instrText xml:space="preserve"> REF _Ref462994467 \r \h  \* MERGEFORMAT </w:instrText>
      </w:r>
      <w:r>
        <w:rPr>
          <w:lang w:val="en-US"/>
        </w:rPr>
      </w:r>
      <w:r>
        <w:rPr>
          <w:lang w:val="en-US"/>
        </w:rPr>
        <w:fldChar w:fldCharType="separate"/>
      </w:r>
      <w:r>
        <w:rPr>
          <w:lang w:val="en-US"/>
        </w:rPr>
        <w:t>[1]</w:t>
      </w:r>
      <w:r>
        <w:rPr>
          <w:lang w:val="en-US"/>
        </w:rPr>
        <w:fldChar w:fldCharType="end"/>
      </w:r>
      <w:r>
        <w:rPr>
          <w:lang w:val="en-US"/>
        </w:rPr>
        <w:fldChar w:fldCharType="begin"/>
      </w:r>
      <w:r>
        <w:rPr>
          <w:lang w:val="en-US"/>
        </w:rPr>
        <w:instrText xml:space="preserve"> REF _Ref462994805 \r \h  \* MERGEFORMAT </w:instrText>
      </w:r>
      <w:r>
        <w:rPr>
          <w:lang w:val="en-US"/>
        </w:rPr>
      </w:r>
      <w:r>
        <w:rPr>
          <w:lang w:val="en-US"/>
        </w:rPr>
        <w:fldChar w:fldCharType="separate"/>
      </w:r>
      <w:r>
        <w:rPr>
          <w:lang w:val="en-US"/>
        </w:rPr>
        <w:t>[2]</w:t>
      </w:r>
      <w:r>
        <w:rPr>
          <w:lang w:val="en-US"/>
        </w:rPr>
        <w:fldChar w:fldCharType="end"/>
      </w:r>
      <w:r>
        <w:rPr>
          <w:lang w:val="en-US"/>
        </w:rPr>
        <w:fldChar w:fldCharType="begin"/>
      </w:r>
      <w:r>
        <w:rPr>
          <w:lang w:val="en-US"/>
        </w:rPr>
        <w:instrText xml:space="preserve"> REF _Ref462994820 \r \h  \* MERGEFORMAT </w:instrText>
      </w:r>
      <w:r>
        <w:rPr>
          <w:lang w:val="en-US"/>
        </w:rPr>
      </w:r>
      <w:r>
        <w:rPr>
          <w:lang w:val="en-US"/>
        </w:rPr>
        <w:fldChar w:fldCharType="separate"/>
      </w:r>
      <w:r>
        <w:rPr>
          <w:lang w:val="en-US"/>
        </w:rPr>
        <w:t>[3]</w:t>
      </w:r>
      <w:r>
        <w:rPr>
          <w:lang w:val="en-US"/>
        </w:rPr>
        <w:fldChar w:fldCharType="end"/>
      </w:r>
      <w:r>
        <w:rPr>
          <w:lang w:val="en-US"/>
        </w:rPr>
        <w:t>.</w:t>
      </w:r>
    </w:p>
    <w:p w14:paraId="093B0FA6" w14:textId="213C6222" w:rsidR="005C074B" w:rsidRDefault="005C074B" w:rsidP="005C074B">
      <w:pPr>
        <w:jc w:val="both"/>
        <w:rPr>
          <w:lang w:val="en-US"/>
        </w:rPr>
      </w:pPr>
      <w:r>
        <w:rPr>
          <w:lang w:val="en-US"/>
        </w:rPr>
        <w:fldChar w:fldCharType="begin"/>
      </w:r>
      <w:r>
        <w:rPr>
          <w:lang w:val="en-US"/>
        </w:rPr>
        <w:instrText xml:space="preserve"> REF _Ref463015423 \h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shows the coupling loss CDFs obtained considering different configurations, in particular:</w:t>
      </w:r>
    </w:p>
    <w:p w14:paraId="3ABC4FD3" w14:textId="4EB9DE53" w:rsidR="005C074B" w:rsidRDefault="005C074B" w:rsidP="005C074B">
      <w:pPr>
        <w:pStyle w:val="ListParagraph"/>
        <w:numPr>
          <w:ilvl w:val="0"/>
          <w:numId w:val="46"/>
        </w:numPr>
        <w:jc w:val="both"/>
        <w:rPr>
          <w:lang w:val="en-US"/>
        </w:rPr>
      </w:pPr>
      <w:r>
        <w:rPr>
          <w:lang w:val="en-US"/>
        </w:rPr>
        <w:t>No antenna gain at both UE and BS</w:t>
      </w:r>
    </w:p>
    <w:p w14:paraId="2613553D" w14:textId="2EB4F3B8" w:rsidR="005C074B" w:rsidRDefault="005C074B" w:rsidP="005C074B">
      <w:pPr>
        <w:pStyle w:val="ListParagraph"/>
        <w:numPr>
          <w:ilvl w:val="0"/>
          <w:numId w:val="46"/>
        </w:numPr>
        <w:jc w:val="both"/>
        <w:rPr>
          <w:lang w:val="en-US"/>
        </w:rPr>
      </w:pPr>
      <w:r>
        <w:rPr>
          <w:lang w:val="en-US"/>
        </w:rPr>
        <w:t>Element gain (EG) only at UE</w:t>
      </w:r>
    </w:p>
    <w:p w14:paraId="4B92F5D6" w14:textId="53F280AC" w:rsidR="005C074B" w:rsidRDefault="005C074B" w:rsidP="005C074B">
      <w:pPr>
        <w:pStyle w:val="ListParagraph"/>
        <w:numPr>
          <w:ilvl w:val="0"/>
          <w:numId w:val="46"/>
        </w:numPr>
        <w:jc w:val="both"/>
        <w:rPr>
          <w:lang w:val="en-US"/>
        </w:rPr>
      </w:pPr>
      <w:r>
        <w:rPr>
          <w:lang w:val="en-US"/>
        </w:rPr>
        <w:t>Element gain only (EG) at BS</w:t>
      </w:r>
    </w:p>
    <w:p w14:paraId="0773641A" w14:textId="193F1F0D" w:rsidR="005C074B" w:rsidRPr="005C074B" w:rsidRDefault="005C074B" w:rsidP="005C074B">
      <w:pPr>
        <w:pStyle w:val="ListParagraph"/>
        <w:numPr>
          <w:ilvl w:val="0"/>
          <w:numId w:val="46"/>
        </w:numPr>
        <w:jc w:val="both"/>
        <w:rPr>
          <w:lang w:val="en-US"/>
        </w:rPr>
      </w:pPr>
      <w:r>
        <w:rPr>
          <w:lang w:val="en-US"/>
        </w:rPr>
        <w:t>Element gain only (EG) at UE and BS</w:t>
      </w:r>
    </w:p>
    <w:p w14:paraId="1CBEA0DC" w14:textId="25970406" w:rsidR="005C074B" w:rsidRPr="005C074B" w:rsidRDefault="005C074B" w:rsidP="005C074B">
      <w:pPr>
        <w:pStyle w:val="ListParagraph"/>
        <w:numPr>
          <w:ilvl w:val="0"/>
          <w:numId w:val="46"/>
        </w:numPr>
        <w:jc w:val="both"/>
        <w:rPr>
          <w:lang w:val="en-US"/>
        </w:rPr>
      </w:pPr>
      <w:r>
        <w:rPr>
          <w:lang w:val="en-US"/>
        </w:rPr>
        <w:t xml:space="preserve">Element gain only (EG) at UE and BS + BS beamforming </w:t>
      </w:r>
    </w:p>
    <w:p w14:paraId="75C50799" w14:textId="2D822CE7" w:rsidR="005C074B" w:rsidRPr="005C074B" w:rsidRDefault="005C074B" w:rsidP="005C074B">
      <w:pPr>
        <w:pStyle w:val="ListParagraph"/>
        <w:numPr>
          <w:ilvl w:val="0"/>
          <w:numId w:val="46"/>
        </w:numPr>
        <w:jc w:val="both"/>
        <w:rPr>
          <w:lang w:val="en-US"/>
        </w:rPr>
      </w:pPr>
      <w:r>
        <w:rPr>
          <w:lang w:val="en-US"/>
        </w:rPr>
        <w:t>Element gain only (EG) at UE and BS + BS beamforming + BS beamforming</w:t>
      </w:r>
    </w:p>
    <w:p w14:paraId="686F0DDA" w14:textId="3DE37704" w:rsidR="005C074B" w:rsidRDefault="005C074B" w:rsidP="005C074B">
      <w:pPr>
        <w:jc w:val="both"/>
        <w:rPr>
          <w:lang w:val="en-US"/>
        </w:rPr>
      </w:pPr>
      <w:r>
        <w:rPr>
          <w:lang w:val="en-US"/>
        </w:rPr>
        <w:t xml:space="preserve">An interesting observation is </w:t>
      </w:r>
      <w:r w:rsidR="00D060C9">
        <w:rPr>
          <w:lang w:val="en-US"/>
        </w:rPr>
        <w:t xml:space="preserve">about </w:t>
      </w:r>
      <w:r>
        <w:rPr>
          <w:lang w:val="en-US"/>
        </w:rPr>
        <w:t xml:space="preserve">the gap between green curve and the dashed black curve. Looking at the median value, this gap is about 24dB and represents the gain due to the base station beamforming. Given the agreed assumption, we have 8x16 elements with 2 polarizations (which is emulated by additional 3dB gain), this brings to: </w:t>
      </w:r>
      <w:r w:rsidRPr="005C074B">
        <w:rPr>
          <w:lang w:val="en-US"/>
        </w:rPr>
        <w:t>10*log10(8*16)+3</w:t>
      </w:r>
      <w:r>
        <w:rPr>
          <w:lang w:val="en-US"/>
        </w:rPr>
        <w:t xml:space="preserve"> ~24dB. The last (right side) black curve brings additional 6dB, which is due to the 2x2 elements at the UE.</w:t>
      </w:r>
    </w:p>
    <w:p w14:paraId="7B5B8ECF" w14:textId="42F36FF1" w:rsidR="0011435E" w:rsidRDefault="0011435E" w:rsidP="005C074B">
      <w:pPr>
        <w:jc w:val="both"/>
        <w:rPr>
          <w:lang w:val="en-US"/>
        </w:rPr>
      </w:pPr>
      <w:r>
        <w:rPr>
          <w:lang w:val="en-US"/>
        </w:rPr>
        <w:t xml:space="preserve">For the same antenna configurations, </w:t>
      </w:r>
      <w:r w:rsidR="00C207D5">
        <w:rPr>
          <w:lang w:val="en-US"/>
        </w:rPr>
        <w:t xml:space="preserve">SIR (signal to co-channel interference) and SINR (signal to co-channel interference plus noise) curves are shown in </w:t>
      </w:r>
      <w:r w:rsidR="00C207D5">
        <w:rPr>
          <w:lang w:val="en-US"/>
        </w:rPr>
        <w:fldChar w:fldCharType="begin"/>
      </w:r>
      <w:r w:rsidR="00C207D5">
        <w:rPr>
          <w:lang w:val="en-US"/>
        </w:rPr>
        <w:instrText xml:space="preserve"> REF _Ref463016680 \h </w:instrText>
      </w:r>
      <w:r w:rsidR="00C207D5">
        <w:rPr>
          <w:lang w:val="en-US"/>
        </w:rPr>
      </w:r>
      <w:r w:rsidR="00C207D5">
        <w:rPr>
          <w:lang w:val="en-US"/>
        </w:rPr>
        <w:fldChar w:fldCharType="separate"/>
      </w:r>
      <w:r w:rsidR="00C207D5">
        <w:t xml:space="preserve">Figure </w:t>
      </w:r>
      <w:r w:rsidR="00C207D5">
        <w:rPr>
          <w:noProof/>
        </w:rPr>
        <w:t>2</w:t>
      </w:r>
      <w:r w:rsidR="00C207D5">
        <w:rPr>
          <w:lang w:val="en-US"/>
        </w:rPr>
        <w:fldChar w:fldCharType="end"/>
      </w:r>
      <w:r w:rsidR="00C207D5">
        <w:rPr>
          <w:lang w:val="en-US"/>
        </w:rPr>
        <w:t xml:space="preserve"> and </w:t>
      </w:r>
      <w:r w:rsidR="00C207D5">
        <w:rPr>
          <w:lang w:val="en-US"/>
        </w:rPr>
        <w:fldChar w:fldCharType="begin"/>
      </w:r>
      <w:r w:rsidR="00C207D5">
        <w:rPr>
          <w:lang w:val="en-US"/>
        </w:rPr>
        <w:instrText xml:space="preserve"> REF _Ref463016682 \h </w:instrText>
      </w:r>
      <w:r w:rsidR="00C207D5">
        <w:rPr>
          <w:lang w:val="en-US"/>
        </w:rPr>
      </w:r>
      <w:r w:rsidR="00C207D5">
        <w:rPr>
          <w:lang w:val="en-US"/>
        </w:rPr>
        <w:fldChar w:fldCharType="separate"/>
      </w:r>
      <w:r w:rsidR="00C207D5">
        <w:t xml:space="preserve">Figure </w:t>
      </w:r>
      <w:r w:rsidR="00C207D5">
        <w:rPr>
          <w:noProof/>
        </w:rPr>
        <w:t>3</w:t>
      </w:r>
      <w:r w:rsidR="00C207D5">
        <w:rPr>
          <w:lang w:val="en-US"/>
        </w:rPr>
        <w:fldChar w:fldCharType="end"/>
      </w:r>
      <w:r w:rsidR="00C207D5">
        <w:rPr>
          <w:lang w:val="en-US"/>
        </w:rPr>
        <w:t>.</w:t>
      </w:r>
    </w:p>
    <w:p w14:paraId="298A483C" w14:textId="3F2E1144" w:rsidR="00C207D5" w:rsidRDefault="00C207D5" w:rsidP="005C074B">
      <w:pPr>
        <w:jc w:val="both"/>
      </w:pPr>
      <w:r>
        <w:rPr>
          <w:lang w:val="en-US"/>
        </w:rPr>
        <w:t xml:space="preserve">Finally, </w:t>
      </w:r>
      <w:r>
        <w:rPr>
          <w:lang w:val="en-US"/>
        </w:rPr>
        <w:fldChar w:fldCharType="begin"/>
      </w:r>
      <w:r>
        <w:rPr>
          <w:lang w:val="en-US"/>
        </w:rPr>
        <w:instrText xml:space="preserve"> REF _Ref463016784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shows the </w:t>
      </w:r>
      <w:r>
        <w:t xml:space="preserve">DL mean throughput degradation due to adjacent channel interference (ACI) as a function of ACIR. To obtain this data, we consider beam forming at both BS and UE side, i.e. exactly the same configuration as agreed in </w:t>
      </w:r>
      <w:r>
        <w:rPr>
          <w:lang w:val="en-US"/>
        </w:rPr>
        <w:fldChar w:fldCharType="begin"/>
      </w:r>
      <w:r>
        <w:rPr>
          <w:lang w:val="en-US"/>
        </w:rPr>
        <w:instrText xml:space="preserve"> REF _Ref462994467 \r \h  \* MERGEFORMAT </w:instrText>
      </w:r>
      <w:r>
        <w:rPr>
          <w:lang w:val="en-US"/>
        </w:rPr>
      </w:r>
      <w:r>
        <w:rPr>
          <w:lang w:val="en-US"/>
        </w:rPr>
        <w:fldChar w:fldCharType="separate"/>
      </w:r>
      <w:r>
        <w:rPr>
          <w:lang w:val="en-US"/>
        </w:rPr>
        <w:t>[1]</w:t>
      </w:r>
      <w:r>
        <w:rPr>
          <w:lang w:val="en-US"/>
        </w:rPr>
        <w:fldChar w:fldCharType="end"/>
      </w:r>
      <w:r>
        <w:rPr>
          <w:lang w:val="en-US"/>
        </w:rPr>
        <w:t xml:space="preserve">. </w:t>
      </w:r>
      <w:r>
        <w:t xml:space="preserve">As it can be observed, in this </w:t>
      </w:r>
      <w:r w:rsidR="00D060C9">
        <w:t>scenario t</w:t>
      </w:r>
      <w:r>
        <w:t xml:space="preserve">he mean throughput degradation due to ACI </w:t>
      </w:r>
      <w:r w:rsidR="00D060C9">
        <w:t xml:space="preserve">is </w:t>
      </w:r>
      <w:r>
        <w:t>within 5%</w:t>
      </w:r>
      <w:r w:rsidR="00D060C9">
        <w:t xml:space="preserve"> even for very low ACIR</w:t>
      </w:r>
      <w:r>
        <w:t xml:space="preserve">. It is also worth noticing that for this particular scenario the 5%-tile throughput degradation is not a useful metric because outage percentage is more than 5% (this can be seen in </w:t>
      </w:r>
      <w:r>
        <w:fldChar w:fldCharType="begin"/>
      </w:r>
      <w:r>
        <w:instrText xml:space="preserve"> REF _Ref463016682 \h </w:instrText>
      </w:r>
      <w:r>
        <w:fldChar w:fldCharType="separate"/>
      </w:r>
      <w:r>
        <w:t xml:space="preserve">Figure </w:t>
      </w:r>
      <w:r>
        <w:rPr>
          <w:noProof/>
        </w:rPr>
        <w:t>3</w:t>
      </w:r>
      <w:r>
        <w:fldChar w:fldCharType="end"/>
      </w:r>
      <w:r>
        <w:t>, where the 5%-tile of SINR di</w:t>
      </w:r>
      <w:r w:rsidR="00D060C9">
        <w:t xml:space="preserve">stribution has less than -10dB, </w:t>
      </w:r>
      <w:r>
        <w:t>i.e.</w:t>
      </w:r>
      <w:r w:rsidR="00D060C9">
        <w:t xml:space="preserve"> 0 throughput in the simulation</w:t>
      </w:r>
      <w:bookmarkStart w:id="1" w:name="_GoBack"/>
      <w:bookmarkEnd w:id="1"/>
      <w:r>
        <w:t>.</w:t>
      </w:r>
    </w:p>
    <w:p w14:paraId="0E0C9350" w14:textId="6581E47E" w:rsidR="00C207D5" w:rsidRPr="005C074B" w:rsidRDefault="00C207D5" w:rsidP="005C074B">
      <w:pPr>
        <w:jc w:val="both"/>
        <w:rPr>
          <w:lang w:val="en-US"/>
        </w:rPr>
      </w:pPr>
      <w:r>
        <w:t xml:space="preserve">The message we get from </w:t>
      </w:r>
      <w:r>
        <w:rPr>
          <w:lang w:val="en-US"/>
        </w:rPr>
        <w:fldChar w:fldCharType="begin"/>
      </w:r>
      <w:r>
        <w:rPr>
          <w:lang w:val="en-US"/>
        </w:rPr>
        <w:instrText xml:space="preserve"> REF _Ref463016784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is </w:t>
      </w:r>
      <w:r w:rsidR="004F2BF9">
        <w:rPr>
          <w:lang w:val="en-US"/>
        </w:rPr>
        <w:t>clear</w:t>
      </w:r>
      <w:r>
        <w:rPr>
          <w:lang w:val="en-US"/>
        </w:rPr>
        <w:t xml:space="preserve">, i.e. the ballpark number for ACIR is much lower compared to legacy LTE operating below 6GHz. It is worth noticing that this trend was already seen in LAA where the BS ACLR requirement was relaxed by 10dB. </w:t>
      </w:r>
      <w:r w:rsidR="00D531F0">
        <w:rPr>
          <w:lang w:val="en-US"/>
        </w:rPr>
        <w:t xml:space="preserve">This is intuitive in mmW scenarios. Due to the much higher path loss, for the system to work high directive antenna needs to be deployed at both UE and BS. For the useful link, the gain will compensated the higher path loss, however the interferer link this is only partially compensated due to the high directivity of the antenna. In other words, the probability to have same interferer link as we would have in a classical below 6GHz system (i.e. probability to have full compensation of the high path loss) is low to the fact that beams are very narrow and randomly oriented (i.e. the direction of the interferer link is random compared to the victim). </w:t>
      </w:r>
    </w:p>
    <w:p w14:paraId="3E2A777B" w14:textId="77777777" w:rsidR="005C074B" w:rsidRDefault="005C074B" w:rsidP="005C074B">
      <w:pPr>
        <w:keepNext/>
        <w:jc w:val="center"/>
      </w:pPr>
      <w:r w:rsidRPr="005C074B">
        <w:rPr>
          <w:noProof/>
          <w:lang w:val="en-US"/>
        </w:rPr>
        <w:lastRenderedPageBreak/>
        <w:drawing>
          <wp:inline distT="0" distB="0" distL="0" distR="0" wp14:anchorId="08508888" wp14:editId="6D759270">
            <wp:extent cx="5120640" cy="384048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25610EA6" w14:textId="3B7DDAB6" w:rsidR="005C074B" w:rsidRDefault="005C074B" w:rsidP="005C074B">
      <w:pPr>
        <w:pStyle w:val="Caption"/>
        <w:jc w:val="center"/>
      </w:pPr>
      <w:bookmarkStart w:id="2" w:name="_Ref463015423"/>
      <w:r>
        <w:t xml:space="preserve">Figure </w:t>
      </w:r>
      <w:r>
        <w:fldChar w:fldCharType="begin"/>
      </w:r>
      <w:r>
        <w:instrText xml:space="preserve"> SEQ Figure \* ARABIC </w:instrText>
      </w:r>
      <w:r>
        <w:fldChar w:fldCharType="separate"/>
      </w:r>
      <w:r w:rsidR="00C207D5">
        <w:rPr>
          <w:noProof/>
        </w:rPr>
        <w:t>1</w:t>
      </w:r>
      <w:r>
        <w:fldChar w:fldCharType="end"/>
      </w:r>
      <w:bookmarkEnd w:id="2"/>
      <w:r>
        <w:t>. Coupling loss CDFs for UMa scenario.</w:t>
      </w:r>
    </w:p>
    <w:p w14:paraId="0B6AE1DB" w14:textId="77777777" w:rsidR="0011435E" w:rsidRDefault="0011435E" w:rsidP="0011435E">
      <w:pPr>
        <w:keepNext/>
        <w:jc w:val="center"/>
      </w:pPr>
      <w:r w:rsidRPr="0011435E">
        <w:rPr>
          <w:noProof/>
          <w:lang w:val="en-US"/>
        </w:rPr>
        <w:drawing>
          <wp:inline distT="0" distB="0" distL="0" distR="0" wp14:anchorId="44F8A223" wp14:editId="0B1ACBA3">
            <wp:extent cx="5120640" cy="38404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3ADD8FF4" w14:textId="0E31BD66" w:rsidR="0011435E" w:rsidRDefault="0011435E" w:rsidP="0011435E">
      <w:pPr>
        <w:pStyle w:val="Caption"/>
        <w:jc w:val="center"/>
        <w:rPr>
          <w:lang w:val="en-US"/>
        </w:rPr>
      </w:pPr>
      <w:bookmarkStart w:id="3" w:name="_Ref463016680"/>
      <w:r>
        <w:t xml:space="preserve">Figure </w:t>
      </w:r>
      <w:r>
        <w:fldChar w:fldCharType="begin"/>
      </w:r>
      <w:r>
        <w:instrText xml:space="preserve"> SEQ Figure \* ARABIC </w:instrText>
      </w:r>
      <w:r>
        <w:fldChar w:fldCharType="separate"/>
      </w:r>
      <w:r w:rsidR="00C207D5">
        <w:rPr>
          <w:noProof/>
        </w:rPr>
        <w:t>2</w:t>
      </w:r>
      <w:r>
        <w:fldChar w:fldCharType="end"/>
      </w:r>
      <w:bookmarkEnd w:id="3"/>
      <w:r>
        <w:t>. SIR CDFs for UMa scenario.</w:t>
      </w:r>
    </w:p>
    <w:p w14:paraId="4DBA0167" w14:textId="77777777" w:rsidR="0011435E" w:rsidRDefault="0011435E" w:rsidP="0011435E">
      <w:pPr>
        <w:keepNext/>
        <w:jc w:val="center"/>
      </w:pPr>
      <w:r w:rsidRPr="0011435E">
        <w:rPr>
          <w:noProof/>
          <w:lang w:val="en-US"/>
        </w:rPr>
        <w:lastRenderedPageBreak/>
        <w:drawing>
          <wp:inline distT="0" distB="0" distL="0" distR="0" wp14:anchorId="7709FFE6" wp14:editId="45301AC8">
            <wp:extent cx="5120640" cy="38404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A9877FC" w14:textId="05D9629E" w:rsidR="0011435E" w:rsidRDefault="0011435E" w:rsidP="0011435E">
      <w:pPr>
        <w:pStyle w:val="Caption"/>
        <w:jc w:val="center"/>
      </w:pPr>
      <w:bookmarkStart w:id="4" w:name="_Ref463016682"/>
      <w:r>
        <w:t xml:space="preserve">Figure </w:t>
      </w:r>
      <w:r>
        <w:fldChar w:fldCharType="begin"/>
      </w:r>
      <w:r>
        <w:instrText xml:space="preserve"> SEQ Figure \* ARABIC </w:instrText>
      </w:r>
      <w:r>
        <w:fldChar w:fldCharType="separate"/>
      </w:r>
      <w:r w:rsidR="00C207D5">
        <w:rPr>
          <w:noProof/>
        </w:rPr>
        <w:t>3</w:t>
      </w:r>
      <w:r>
        <w:fldChar w:fldCharType="end"/>
      </w:r>
      <w:bookmarkEnd w:id="4"/>
      <w:r>
        <w:t>. SI</w:t>
      </w:r>
      <w:r w:rsidR="00C207D5">
        <w:t>N</w:t>
      </w:r>
      <w:r>
        <w:t>R CDFs for UMa scenario.</w:t>
      </w:r>
    </w:p>
    <w:p w14:paraId="106D05F5" w14:textId="77777777" w:rsidR="00C207D5" w:rsidRDefault="00C207D5" w:rsidP="00C207D5">
      <w:pPr>
        <w:keepNext/>
        <w:jc w:val="center"/>
      </w:pPr>
      <w:r w:rsidRPr="00C207D5">
        <w:rPr>
          <w:noProof/>
          <w:lang w:val="en-US"/>
        </w:rPr>
        <w:drawing>
          <wp:inline distT="0" distB="0" distL="0" distR="0" wp14:anchorId="5A3F1210" wp14:editId="23B5F003">
            <wp:extent cx="5120640" cy="38404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5D00805A" w14:textId="3577871E" w:rsidR="00C207D5" w:rsidRPr="00C207D5" w:rsidRDefault="00C207D5" w:rsidP="00C207D5">
      <w:pPr>
        <w:pStyle w:val="Caption"/>
        <w:jc w:val="center"/>
      </w:pPr>
      <w:bookmarkStart w:id="5" w:name="_Ref463016784"/>
      <w:r>
        <w:t xml:space="preserve">Figure </w:t>
      </w:r>
      <w:r>
        <w:fldChar w:fldCharType="begin"/>
      </w:r>
      <w:r>
        <w:instrText xml:space="preserve"> SEQ Figure \* ARABIC </w:instrText>
      </w:r>
      <w:r>
        <w:fldChar w:fldCharType="separate"/>
      </w:r>
      <w:r>
        <w:rPr>
          <w:noProof/>
        </w:rPr>
        <w:t>4</w:t>
      </w:r>
      <w:r>
        <w:fldChar w:fldCharType="end"/>
      </w:r>
      <w:bookmarkEnd w:id="5"/>
      <w:r>
        <w:t>. DL mean throughput degradation due to adjacent channel interference in UMa scenario.</w:t>
      </w:r>
    </w:p>
    <w:p w14:paraId="230A9D4D" w14:textId="253B9F50" w:rsidR="0011435E" w:rsidRDefault="0011435E" w:rsidP="0011435E">
      <w:pPr>
        <w:keepNext/>
        <w:jc w:val="center"/>
      </w:pPr>
    </w:p>
    <w:p w14:paraId="6DE50B23" w14:textId="2E6CC9EC" w:rsidR="0011435E" w:rsidRPr="0011435E" w:rsidRDefault="0011435E" w:rsidP="0011435E">
      <w:pPr>
        <w:pStyle w:val="Caption"/>
        <w:jc w:val="center"/>
        <w:rPr>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2C94B391" w14:textId="58F7AC0C" w:rsidR="000364DC" w:rsidRDefault="00407D2B" w:rsidP="007E521D">
      <w:pPr>
        <w:jc w:val="both"/>
      </w:pPr>
      <w:r>
        <w:t>In</w:t>
      </w:r>
      <w:r w:rsidR="009A2366">
        <w:t xml:space="preserve"> this contribution we </w:t>
      </w:r>
      <w:r w:rsidR="00C16023">
        <w:t>provide</w:t>
      </w:r>
      <w:r w:rsidR="007B6449">
        <w:t>d</w:t>
      </w:r>
      <w:r w:rsidR="00C16023">
        <w:t xml:space="preserve"> </w:t>
      </w:r>
      <w:r w:rsidR="007B6449">
        <w:t>simulation results for NR coexistence study the Urban Macro</w:t>
      </w:r>
      <w:r w:rsidR="00C16023">
        <w:t>.</w:t>
      </w:r>
      <w:r w:rsidR="007B6449">
        <w:t xml:space="preserve"> The assumptions adopted in the study are the ones agreed in </w:t>
      </w:r>
      <w:r w:rsidR="007B6449">
        <w:fldChar w:fldCharType="begin"/>
      </w:r>
      <w:r w:rsidR="007B6449">
        <w:instrText xml:space="preserve"> REF _Ref462994467 \r \h </w:instrText>
      </w:r>
      <w:r w:rsidR="007B6449">
        <w:fldChar w:fldCharType="separate"/>
      </w:r>
      <w:r w:rsidR="007B6449">
        <w:t>[1]</w:t>
      </w:r>
      <w:r w:rsidR="007B6449">
        <w:fldChar w:fldCharType="end"/>
      </w:r>
      <w:r w:rsidR="007B6449">
        <w:t>. Our data show that an ACIR of about 15dB is enough to keep the DL mean throughput degradation due to adjacent channel interference within 5%.</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304EC7A3" w14:textId="51EC074A" w:rsidR="00A90FF2" w:rsidRPr="00A90FF2" w:rsidRDefault="00A90FF2" w:rsidP="00A90FF2">
      <w:pPr>
        <w:pStyle w:val="ListParagraph"/>
        <w:numPr>
          <w:ilvl w:val="0"/>
          <w:numId w:val="2"/>
        </w:numPr>
        <w:rPr>
          <w:lang w:val="en-US"/>
        </w:rPr>
      </w:pPr>
      <w:bookmarkStart w:id="6" w:name="_Ref462992094"/>
      <w:bookmarkStart w:id="7" w:name="_Ref462994467"/>
      <w:bookmarkStart w:id="8" w:name="_Ref447207862"/>
      <w:bookmarkStart w:id="9" w:name="_Ref442191279"/>
      <w:bookmarkStart w:id="10" w:name="_Ref447031905"/>
      <w:bookmarkStart w:id="11" w:name="_Ref419388595"/>
      <w:bookmarkStart w:id="12" w:name="_Ref419289036"/>
      <w:bookmarkStart w:id="13" w:name="_Ref450558964"/>
      <w:r>
        <w:rPr>
          <w:lang w:val="en-US"/>
        </w:rPr>
        <w:t>R4-167079,</w:t>
      </w:r>
      <w:r w:rsidRPr="00A90FF2">
        <w:rPr>
          <w:lang w:val="en-US"/>
        </w:rPr>
        <w:t xml:space="preserve"> </w:t>
      </w:r>
      <w:r>
        <w:rPr>
          <w:lang w:val="en-US"/>
        </w:rPr>
        <w:t>“</w:t>
      </w:r>
      <w:r w:rsidRPr="00A90FF2">
        <w:rPr>
          <w:lang w:val="en-US"/>
        </w:rPr>
        <w:t>WF on Simulation assumptions of Co-existence study for WP5D</w:t>
      </w:r>
      <w:r>
        <w:rPr>
          <w:lang w:val="en-US"/>
        </w:rPr>
        <w:t>”,</w:t>
      </w:r>
      <w:bookmarkEnd w:id="6"/>
      <w:r w:rsidRPr="00A90FF2">
        <w:rPr>
          <w:lang w:val="en-US"/>
        </w:rPr>
        <w:t xml:space="preserve"> </w:t>
      </w:r>
      <w:r>
        <w:rPr>
          <w:lang w:val="en-US"/>
        </w:rPr>
        <w:t>NTT DOCOMO</w:t>
      </w:r>
      <w:r w:rsidRPr="00A90FF2">
        <w:rPr>
          <w:lang w:val="en-US"/>
        </w:rPr>
        <w:t xml:space="preserve"> INC.</w:t>
      </w:r>
      <w:bookmarkEnd w:id="7"/>
    </w:p>
    <w:p w14:paraId="0789418A" w14:textId="522E2FF4" w:rsidR="00FE690E" w:rsidRPr="00FE690E" w:rsidRDefault="00FE690E" w:rsidP="00D00987">
      <w:pPr>
        <w:pStyle w:val="ListParagraph"/>
        <w:numPr>
          <w:ilvl w:val="0"/>
          <w:numId w:val="2"/>
        </w:numPr>
        <w:rPr>
          <w:lang w:val="en-US"/>
        </w:rPr>
      </w:pPr>
      <w:bookmarkStart w:id="14" w:name="_Ref462994805"/>
      <w:r w:rsidRPr="00263031">
        <w:t>R4-167123</w:t>
      </w:r>
      <w:r>
        <w:t>, “</w:t>
      </w:r>
      <w:r w:rsidRPr="00263031">
        <w:t>WF on UE Beamforming Model for the ITU WP5D coexistence simulations</w:t>
      </w:r>
      <w:r>
        <w:t>”, Qualcomm Incorporated.</w:t>
      </w:r>
      <w:bookmarkEnd w:id="14"/>
    </w:p>
    <w:p w14:paraId="04C65D21" w14:textId="385A94EB" w:rsidR="003D395F" w:rsidRPr="00D8157D" w:rsidRDefault="00FE690E" w:rsidP="00D8157D">
      <w:pPr>
        <w:pStyle w:val="ListParagraph"/>
        <w:numPr>
          <w:ilvl w:val="0"/>
          <w:numId w:val="2"/>
        </w:numPr>
        <w:rPr>
          <w:lang w:val="en-US"/>
        </w:rPr>
      </w:pPr>
      <w:bookmarkStart w:id="15" w:name="_Ref462994820"/>
      <w:r>
        <w:rPr>
          <w:lang w:val="en-US"/>
        </w:rPr>
        <w:t>R4-167127,</w:t>
      </w:r>
      <w:r w:rsidRPr="00FE690E">
        <w:rPr>
          <w:lang w:val="en-US"/>
        </w:rPr>
        <w:t xml:space="preserve"> </w:t>
      </w:r>
      <w:r>
        <w:rPr>
          <w:lang w:val="en-US"/>
        </w:rPr>
        <w:t>“</w:t>
      </w:r>
      <w:r w:rsidRPr="00FE690E">
        <w:rPr>
          <w:lang w:val="en-US"/>
        </w:rPr>
        <w:t>Way forward on BS Beamforming Model for the ITU WP5D coexistence simulations</w:t>
      </w:r>
      <w:r>
        <w:rPr>
          <w:lang w:val="en-US"/>
        </w:rPr>
        <w:t>”, Huawei, HiSilicon.</w:t>
      </w:r>
      <w:bookmarkEnd w:id="8"/>
      <w:bookmarkEnd w:id="9"/>
      <w:bookmarkEnd w:id="10"/>
      <w:bookmarkEnd w:id="11"/>
      <w:bookmarkEnd w:id="12"/>
      <w:bookmarkEnd w:id="13"/>
      <w:bookmarkEnd w:id="15"/>
    </w:p>
    <w:sectPr w:rsidR="003D395F" w:rsidRPr="00D815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11699" w14:textId="77777777" w:rsidR="00370FBB" w:rsidRDefault="00370FBB">
      <w:r>
        <w:separator/>
      </w:r>
    </w:p>
  </w:endnote>
  <w:endnote w:type="continuationSeparator" w:id="0">
    <w:p w14:paraId="34679918" w14:textId="77777777" w:rsidR="00370FBB" w:rsidRDefault="0037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60C9">
      <w:rPr>
        <w:rStyle w:val="PageNumber"/>
      </w:rPr>
      <w:t>4</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84550" w14:textId="77777777" w:rsidR="00370FBB" w:rsidRDefault="00370FBB">
      <w:r>
        <w:separator/>
      </w:r>
    </w:p>
  </w:footnote>
  <w:footnote w:type="continuationSeparator" w:id="0">
    <w:p w14:paraId="2C4FDC16" w14:textId="77777777" w:rsidR="00370FBB" w:rsidRDefault="00370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7"/>
  </w:num>
  <w:num w:numId="3">
    <w:abstractNumId w:val="40"/>
  </w:num>
  <w:num w:numId="4">
    <w:abstractNumId w:val="42"/>
  </w:num>
  <w:num w:numId="5">
    <w:abstractNumId w:val="33"/>
  </w:num>
  <w:num w:numId="6">
    <w:abstractNumId w:val="20"/>
  </w:num>
  <w:num w:numId="7">
    <w:abstractNumId w:val="8"/>
  </w:num>
  <w:num w:numId="8">
    <w:abstractNumId w:val="39"/>
  </w:num>
  <w:num w:numId="9">
    <w:abstractNumId w:val="21"/>
  </w:num>
  <w:num w:numId="10">
    <w:abstractNumId w:val="30"/>
  </w:num>
  <w:num w:numId="11">
    <w:abstractNumId w:val="43"/>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4"/>
  </w:num>
  <w:num w:numId="24">
    <w:abstractNumId w:val="25"/>
  </w:num>
  <w:num w:numId="25">
    <w:abstractNumId w:val="38"/>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2"/>
  </w:num>
  <w:num w:numId="38">
    <w:abstractNumId w:val="36"/>
  </w:num>
  <w:num w:numId="39">
    <w:abstractNumId w:val="31"/>
  </w:num>
  <w:num w:numId="40">
    <w:abstractNumId w:val="1"/>
  </w:num>
  <w:num w:numId="41">
    <w:abstractNumId w:val="6"/>
  </w:num>
  <w:num w:numId="42">
    <w:abstractNumId w:val="13"/>
  </w:num>
  <w:num w:numId="43">
    <w:abstractNumId w:val="41"/>
  </w:num>
  <w:num w:numId="44">
    <w:abstractNumId w:val="23"/>
  </w:num>
  <w:num w:numId="45">
    <w:abstractNumId w:val="35"/>
  </w:num>
  <w:num w:numId="4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0FBB"/>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9F1"/>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0C9"/>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A266D54-32F6-4F67-8804-B0F23B0B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56</TotalTime>
  <Pages>4</Pages>
  <Words>834</Words>
  <Characters>3857</Characters>
  <Application>Microsoft Office Word</Application>
  <DocSecurity>0</DocSecurity>
  <Lines>65</Lines>
  <Paragraphs>55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cp:revision>
  <cp:lastPrinted>2016-09-30T14:03:00Z</cp:lastPrinted>
  <dcterms:created xsi:type="dcterms:W3CDTF">2016-09-30T14:07:00Z</dcterms:created>
  <dcterms:modified xsi:type="dcterms:W3CDTF">2016-09-30T21:03:00Z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